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F" w:rsidRDefault="00BE6E4F" w:rsidP="00BE6E4F">
      <w:pPr>
        <w:rPr>
          <w:rFonts w:ascii="Arial" w:eastAsia="Times New Roman" w:hAnsi="Arial" w:cs="Arial"/>
          <w:color w:val="3F464D"/>
          <w:sz w:val="20"/>
          <w:szCs w:val="20"/>
          <w:lang w:eastAsia="de-DE"/>
        </w:rPr>
      </w:pPr>
      <w:r w:rsidRPr="00BE6E4F">
        <w:rPr>
          <w:rFonts w:ascii="Arial" w:eastAsia="Times New Roman" w:hAnsi="Arial" w:cs="Arial"/>
          <w:color w:val="3F464D"/>
          <w:sz w:val="20"/>
          <w:szCs w:val="20"/>
          <w:lang w:eastAsia="de-DE"/>
        </w:rPr>
        <w:t xml:space="preserve">Nach </w:t>
      </w:r>
      <w:r>
        <w:rPr>
          <w:rFonts w:ascii="Arial" w:eastAsia="Times New Roman" w:hAnsi="Arial" w:cs="Arial"/>
          <w:color w:val="3F464D"/>
          <w:sz w:val="20"/>
          <w:szCs w:val="20"/>
          <w:lang w:eastAsia="de-DE"/>
        </w:rPr>
        <w:t>§ 10 der Beitrags- und Gebührensatzung zur Entwässerungssatzung</w:t>
      </w:r>
      <w:r w:rsidRPr="00BE6E4F">
        <w:rPr>
          <w:rFonts w:ascii="Arial" w:eastAsia="Times New Roman" w:hAnsi="Arial" w:cs="Arial"/>
          <w:color w:val="3F464D"/>
          <w:sz w:val="20"/>
          <w:szCs w:val="20"/>
          <w:lang w:eastAsia="de-DE"/>
        </w:rPr>
        <w:t xml:space="preserve"> der </w:t>
      </w:r>
      <w:r>
        <w:rPr>
          <w:rFonts w:ascii="Arial" w:eastAsia="Times New Roman" w:hAnsi="Arial" w:cs="Arial"/>
          <w:color w:val="3F464D"/>
          <w:sz w:val="20"/>
          <w:szCs w:val="20"/>
          <w:lang w:eastAsia="de-DE"/>
        </w:rPr>
        <w:t xml:space="preserve">Gemeinde </w:t>
      </w:r>
      <w:r w:rsidR="00A6774B" w:rsidRPr="00A6774B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Haag </w:t>
      </w:r>
      <w:proofErr w:type="spellStart"/>
      <w:r w:rsidR="00A6774B" w:rsidRPr="00A6774B">
        <w:rPr>
          <w:rFonts w:ascii="Arial" w:eastAsia="Times New Roman" w:hAnsi="Arial" w:cs="Arial"/>
          <w:b/>
          <w:sz w:val="20"/>
          <w:szCs w:val="20"/>
          <w:lang w:eastAsia="de-DE"/>
        </w:rPr>
        <w:t>a.d.</w:t>
      </w:r>
      <w:proofErr w:type="spellEnd"/>
      <w:r w:rsidR="00A6774B" w:rsidRPr="00A6774B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Amper </w:t>
      </w:r>
      <w:r w:rsidRPr="00BE6E4F"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F464D"/>
          <w:sz w:val="20"/>
          <w:szCs w:val="20"/>
          <w:lang w:eastAsia="de-DE"/>
        </w:rPr>
        <w:t>können</w:t>
      </w:r>
      <w:r w:rsidRPr="00BE6E4F">
        <w:rPr>
          <w:rFonts w:ascii="Arial" w:eastAsia="Times New Roman" w:hAnsi="Arial" w:cs="Arial"/>
          <w:color w:val="3F464D"/>
          <w:sz w:val="20"/>
          <w:szCs w:val="20"/>
          <w:lang w:eastAsia="de-DE"/>
        </w:rPr>
        <w:t xml:space="preserve"> Wassermengen, die nachweislich</w:t>
      </w:r>
      <w:r>
        <w:rPr>
          <w:rFonts w:ascii="Arial" w:eastAsia="Times New Roman" w:hAnsi="Arial" w:cs="Arial"/>
          <w:color w:val="3F464D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i/>
          <w:iCs/>
          <w:color w:val="3F464D"/>
          <w:sz w:val="20"/>
          <w:szCs w:val="20"/>
          <w:lang w:eastAsia="de-DE"/>
        </w:rPr>
        <w:t xml:space="preserve">nicht </w:t>
      </w:r>
      <w:r w:rsidRPr="00BE6E4F">
        <w:rPr>
          <w:rFonts w:ascii="Arial" w:eastAsia="Times New Roman" w:hAnsi="Arial" w:cs="Arial"/>
          <w:color w:val="3F464D"/>
          <w:sz w:val="20"/>
          <w:szCs w:val="20"/>
          <w:lang w:eastAsia="de-DE"/>
        </w:rPr>
        <w:t xml:space="preserve">dem öffentlichen Kanal zugeführt wurden, bei der Berechnung der Schmutzwassergebühr </w:t>
      </w:r>
      <w:r>
        <w:rPr>
          <w:rFonts w:ascii="Arial" w:eastAsia="Times New Roman" w:hAnsi="Arial" w:cs="Arial"/>
          <w:color w:val="3F464D"/>
          <w:sz w:val="20"/>
          <w:szCs w:val="20"/>
          <w:lang w:eastAsia="de-DE"/>
        </w:rPr>
        <w:t>in Abzug gebracht werden</w:t>
      </w:r>
      <w:r w:rsidRPr="00BE6E4F">
        <w:rPr>
          <w:rFonts w:ascii="Arial" w:eastAsia="Times New Roman" w:hAnsi="Arial" w:cs="Arial"/>
          <w:color w:val="3F464D"/>
          <w:sz w:val="20"/>
          <w:szCs w:val="20"/>
          <w:lang w:eastAsia="de-DE"/>
        </w:rPr>
        <w:t xml:space="preserve">. Die Mengen sind durch geeichte Wasserzähler zu ermitteln, die fest </w:t>
      </w:r>
      <w:r>
        <w:rPr>
          <w:rFonts w:ascii="Arial" w:eastAsia="Times New Roman" w:hAnsi="Arial" w:cs="Arial"/>
          <w:color w:val="3F464D"/>
          <w:sz w:val="20"/>
          <w:szCs w:val="20"/>
          <w:lang w:eastAsia="de-DE"/>
        </w:rPr>
        <w:t xml:space="preserve">in der Leitung </w:t>
      </w:r>
      <w:r w:rsidRPr="00BE6E4F">
        <w:rPr>
          <w:rFonts w:ascii="Arial" w:eastAsia="Times New Roman" w:hAnsi="Arial" w:cs="Arial"/>
          <w:color w:val="3F464D"/>
          <w:sz w:val="20"/>
          <w:szCs w:val="20"/>
          <w:lang w:eastAsia="de-DE"/>
        </w:rPr>
        <w:t xml:space="preserve">einzubauen sind. Aufsteck- oder </w:t>
      </w:r>
      <w:proofErr w:type="spellStart"/>
      <w:r w:rsidRPr="00BE6E4F">
        <w:rPr>
          <w:rFonts w:ascii="Arial" w:eastAsia="Times New Roman" w:hAnsi="Arial" w:cs="Arial"/>
          <w:color w:val="3F464D"/>
          <w:sz w:val="20"/>
          <w:szCs w:val="20"/>
          <w:lang w:eastAsia="de-DE"/>
        </w:rPr>
        <w:t>Aufschraubzähler</w:t>
      </w:r>
      <w:proofErr w:type="spellEnd"/>
      <w:r w:rsidRPr="00BE6E4F">
        <w:rPr>
          <w:rFonts w:ascii="Arial" w:eastAsia="Times New Roman" w:hAnsi="Arial" w:cs="Arial"/>
          <w:color w:val="3F464D"/>
          <w:sz w:val="20"/>
          <w:szCs w:val="20"/>
          <w:lang w:eastAsia="de-DE"/>
        </w:rPr>
        <w:t xml:space="preserve"> werden bei der Gebührenberechnung</w:t>
      </w:r>
      <w:r>
        <w:rPr>
          <w:rFonts w:ascii="Arial" w:eastAsia="Times New Roman" w:hAnsi="Arial" w:cs="Arial"/>
          <w:color w:val="3F464D"/>
          <w:sz w:val="20"/>
          <w:szCs w:val="20"/>
          <w:lang w:eastAsia="de-DE"/>
        </w:rPr>
        <w:t xml:space="preserve"> nicht anerkannt.</w:t>
      </w:r>
    </w:p>
    <w:p w:rsidR="00BE6E4F" w:rsidRDefault="00BE6E4F" w:rsidP="00BE6E4F">
      <w:pPr>
        <w:rPr>
          <w:rFonts w:ascii="Arial" w:eastAsia="Times New Roman" w:hAnsi="Arial" w:cs="Arial"/>
          <w:color w:val="3F464D"/>
          <w:sz w:val="20"/>
          <w:szCs w:val="20"/>
          <w:lang w:eastAsia="de-DE"/>
        </w:rPr>
      </w:pPr>
    </w:p>
    <w:p w:rsidR="00BE6E4F" w:rsidRDefault="00BE6E4F" w:rsidP="00BE6E4F">
      <w:pPr>
        <w:rPr>
          <w:rFonts w:ascii="Arial" w:eastAsia="Times New Roman" w:hAnsi="Arial" w:cs="Arial"/>
          <w:color w:val="3F464D"/>
          <w:sz w:val="20"/>
          <w:szCs w:val="20"/>
          <w:lang w:eastAsia="de-DE"/>
        </w:rPr>
      </w:pPr>
      <w:r w:rsidRPr="00BE6E4F">
        <w:rPr>
          <w:rFonts w:ascii="Arial" w:eastAsia="Times New Roman" w:hAnsi="Arial" w:cs="Arial"/>
          <w:b/>
          <w:color w:val="3F464D"/>
          <w:sz w:val="20"/>
          <w:szCs w:val="20"/>
          <w:u w:val="single"/>
          <w:lang w:eastAsia="de-DE"/>
        </w:rPr>
        <w:t>Hinweis:</w:t>
      </w:r>
      <w:r>
        <w:rPr>
          <w:rFonts w:ascii="Arial" w:eastAsia="Times New Roman" w:hAnsi="Arial" w:cs="Arial"/>
          <w:color w:val="3F464D"/>
          <w:sz w:val="20"/>
          <w:szCs w:val="20"/>
          <w:lang w:eastAsia="de-DE"/>
        </w:rPr>
        <w:t xml:space="preserve"> </w:t>
      </w:r>
      <w:r w:rsidRPr="00BE6E4F">
        <w:rPr>
          <w:rFonts w:ascii="Arial" w:eastAsia="Times New Roman" w:hAnsi="Arial" w:cs="Arial"/>
          <w:color w:val="3F464D"/>
          <w:sz w:val="20"/>
          <w:szCs w:val="20"/>
          <w:lang w:eastAsia="de-DE"/>
        </w:rPr>
        <w:t xml:space="preserve">Für die Befüllung von Poolanlagen darf das Frischwasser nicht über den Gartenwasserzähler geleitet werden, da es sich bei Poolwasser um Schmutzwasser handelt, welches </w:t>
      </w:r>
      <w:bookmarkStart w:id="0" w:name="_GoBack"/>
      <w:bookmarkEnd w:id="0"/>
      <w:r w:rsidRPr="00BE6E4F">
        <w:rPr>
          <w:rFonts w:ascii="Arial" w:eastAsia="Times New Roman" w:hAnsi="Arial" w:cs="Arial"/>
          <w:color w:val="3F464D"/>
          <w:sz w:val="20"/>
          <w:szCs w:val="20"/>
          <w:lang w:eastAsia="de-DE"/>
        </w:rPr>
        <w:t>über den Schmutzwasserkanal zu entsorgen ist!</w:t>
      </w:r>
    </w:p>
    <w:p w:rsidR="00BE6E4F" w:rsidRDefault="00BE6E4F" w:rsidP="00BE6E4F">
      <w:pPr>
        <w:rPr>
          <w:rFonts w:ascii="Arial" w:eastAsia="Times New Roman" w:hAnsi="Arial" w:cs="Arial"/>
          <w:color w:val="3F464D"/>
          <w:sz w:val="20"/>
          <w:szCs w:val="20"/>
          <w:lang w:eastAsia="de-DE"/>
        </w:rPr>
      </w:pPr>
    </w:p>
    <w:p w:rsidR="00BE6E4F" w:rsidRDefault="00BE6E4F" w:rsidP="00BE6E4F">
      <w:pPr>
        <w:rPr>
          <w:rFonts w:ascii="Arial" w:eastAsia="Times New Roman" w:hAnsi="Arial" w:cs="Arial"/>
          <w:color w:val="3F464D"/>
          <w:sz w:val="20"/>
          <w:szCs w:val="20"/>
          <w:lang w:eastAsia="de-DE"/>
        </w:rPr>
      </w:pPr>
      <w:r w:rsidRPr="00BE6E4F">
        <w:rPr>
          <w:rFonts w:ascii="Arial" w:eastAsia="Times New Roman" w:hAnsi="Arial" w:cs="Arial"/>
          <w:b/>
          <w:bCs/>
          <w:color w:val="3F464D"/>
          <w:sz w:val="20"/>
          <w:szCs w:val="20"/>
          <w:lang w:eastAsia="de-DE"/>
        </w:rPr>
        <w:t>Die Abzugszähler (Gartenwasserzähler) müssen den Bestimmungen des Eichgesetzes entsprechen</w:t>
      </w:r>
      <w:r w:rsidRPr="00BE6E4F">
        <w:rPr>
          <w:rFonts w:ascii="Arial" w:eastAsia="Times New Roman" w:hAnsi="Arial" w:cs="Arial"/>
          <w:color w:val="3F464D"/>
          <w:sz w:val="20"/>
          <w:szCs w:val="20"/>
          <w:lang w:eastAsia="de-DE"/>
        </w:rPr>
        <w:t>.</w:t>
      </w:r>
      <w:r w:rsidRPr="00BE6E4F">
        <w:rPr>
          <w:rFonts w:ascii="Arial" w:eastAsia="Times New Roman" w:hAnsi="Arial" w:cs="Arial"/>
          <w:color w:val="3F464D"/>
          <w:sz w:val="20"/>
          <w:szCs w:val="20"/>
          <w:lang w:eastAsia="de-DE"/>
        </w:rPr>
        <w:br/>
      </w:r>
      <w:r w:rsidRPr="00BE6E4F">
        <w:rPr>
          <w:rFonts w:ascii="Arial" w:eastAsia="Times New Roman" w:hAnsi="Arial" w:cs="Arial"/>
          <w:color w:val="3F464D"/>
          <w:sz w:val="20"/>
          <w:szCs w:val="20"/>
          <w:lang w:eastAsia="de-DE"/>
        </w:rPr>
        <w:br/>
        <w:t xml:space="preserve">Der Eichzeitraum beträgt 6 Jahre. Nach Ablauf der Eichfrist ist der Abzugszähler gegen einen geeichten Zähler auszutauschen. </w:t>
      </w:r>
    </w:p>
    <w:p w:rsidR="00BE6E4F" w:rsidRDefault="00BE6E4F" w:rsidP="00BE6E4F">
      <w:pPr>
        <w:rPr>
          <w:rFonts w:ascii="Arial" w:eastAsia="Times New Roman" w:hAnsi="Arial" w:cs="Arial"/>
          <w:color w:val="3F464D"/>
          <w:sz w:val="20"/>
          <w:szCs w:val="20"/>
          <w:lang w:eastAsia="de-DE"/>
        </w:rPr>
      </w:pPr>
    </w:p>
    <w:p w:rsidR="00BE6E4F" w:rsidRPr="00BE6E4F" w:rsidRDefault="00BE6E4F" w:rsidP="00BE6E4F">
      <w:pPr>
        <w:rPr>
          <w:rFonts w:ascii="Arial" w:eastAsia="Times New Roman" w:hAnsi="Arial" w:cs="Arial"/>
          <w:color w:val="3F464D"/>
          <w:sz w:val="20"/>
          <w:szCs w:val="20"/>
          <w:lang w:eastAsia="de-DE"/>
        </w:rPr>
      </w:pPr>
      <w:r w:rsidRPr="00BE6E4F">
        <w:rPr>
          <w:rFonts w:ascii="Arial" w:eastAsia="Times New Roman" w:hAnsi="Arial" w:cs="Arial"/>
          <w:color w:val="3F464D"/>
          <w:sz w:val="20"/>
          <w:szCs w:val="20"/>
          <w:lang w:eastAsia="de-DE"/>
        </w:rPr>
        <w:t>Die Gartenwasserzähler können bei der Berechnung der Gebühr erst ab dem Zeitpunkt/Zäh</w:t>
      </w:r>
      <w:r>
        <w:rPr>
          <w:rFonts w:ascii="Arial" w:eastAsia="Times New Roman" w:hAnsi="Arial" w:cs="Arial"/>
          <w:color w:val="3F464D"/>
          <w:sz w:val="20"/>
          <w:szCs w:val="20"/>
          <w:lang w:eastAsia="de-DE"/>
        </w:rPr>
        <w:t>lerstand berücksichtigt werden, wenn sie</w:t>
      </w:r>
      <w:r w:rsidRPr="00BE6E4F">
        <w:rPr>
          <w:rFonts w:ascii="Arial" w:eastAsia="Times New Roman" w:hAnsi="Arial" w:cs="Arial"/>
          <w:color w:val="3F464D"/>
          <w:sz w:val="20"/>
          <w:szCs w:val="20"/>
          <w:lang w:eastAsia="de-DE"/>
        </w:rPr>
        <w:t xml:space="preserve"> schriftlich angemeldet wurden. Dies ist sowohl bei einer Neuinstallation </w:t>
      </w:r>
      <w:r>
        <w:rPr>
          <w:rFonts w:ascii="Arial" w:eastAsia="Times New Roman" w:hAnsi="Arial" w:cs="Arial"/>
          <w:color w:val="3F464D"/>
          <w:sz w:val="20"/>
          <w:szCs w:val="20"/>
          <w:lang w:eastAsia="de-DE"/>
        </w:rPr>
        <w:t xml:space="preserve">als auch bei einem Zählerwechsel </w:t>
      </w:r>
      <w:r w:rsidRPr="00BE6E4F">
        <w:rPr>
          <w:rFonts w:ascii="Arial" w:eastAsia="Times New Roman" w:hAnsi="Arial" w:cs="Arial"/>
          <w:color w:val="3F464D"/>
          <w:sz w:val="20"/>
          <w:szCs w:val="20"/>
          <w:lang w:eastAsia="de-DE"/>
        </w:rPr>
        <w:t>notwendig.</w:t>
      </w:r>
    </w:p>
    <w:p w:rsidR="00BE6E4F" w:rsidRPr="00BE6E4F" w:rsidRDefault="00BE6E4F" w:rsidP="00BE6E4F">
      <w:pPr>
        <w:rPr>
          <w:rFonts w:ascii="Arial" w:eastAsia="Times New Roman" w:hAnsi="Arial" w:cs="Arial"/>
          <w:color w:val="3F464D"/>
          <w:sz w:val="20"/>
          <w:szCs w:val="20"/>
          <w:lang w:eastAsia="de-DE"/>
        </w:rPr>
      </w:pPr>
      <w:r w:rsidRPr="00BE6E4F">
        <w:rPr>
          <w:rFonts w:ascii="Arial" w:eastAsia="Times New Roman" w:hAnsi="Arial" w:cs="Arial"/>
          <w:color w:val="3F464D"/>
          <w:sz w:val="20"/>
          <w:szCs w:val="20"/>
          <w:lang w:eastAsia="de-DE"/>
        </w:rPr>
        <w:t>  </w:t>
      </w:r>
    </w:p>
    <w:p w:rsidR="00BE6E4F" w:rsidRPr="00BE6E4F" w:rsidRDefault="00BE6E4F" w:rsidP="00BE6E4F">
      <w:pPr>
        <w:rPr>
          <w:rFonts w:ascii="Arial" w:eastAsia="Times New Roman" w:hAnsi="Arial" w:cs="Arial"/>
          <w:color w:val="3F464D"/>
          <w:sz w:val="20"/>
          <w:szCs w:val="20"/>
          <w:lang w:eastAsia="de-DE"/>
        </w:rPr>
      </w:pPr>
      <w:r w:rsidRPr="00BE6E4F">
        <w:rPr>
          <w:rFonts w:ascii="Arial" w:eastAsia="Times New Roman" w:hAnsi="Arial" w:cs="Arial"/>
          <w:b/>
          <w:bCs/>
          <w:color w:val="3F464D"/>
          <w:sz w:val="20"/>
          <w:szCs w:val="20"/>
          <w:lang w:eastAsia="de-DE"/>
        </w:rPr>
        <w:t xml:space="preserve">Bitte beachten Sie folgende </w:t>
      </w:r>
      <w:r>
        <w:rPr>
          <w:rFonts w:ascii="Arial" w:eastAsia="Times New Roman" w:hAnsi="Arial" w:cs="Arial"/>
          <w:b/>
          <w:bCs/>
          <w:color w:val="3F464D"/>
          <w:sz w:val="20"/>
          <w:szCs w:val="20"/>
          <w:lang w:eastAsia="de-DE"/>
        </w:rPr>
        <w:t>Hinweise</w:t>
      </w:r>
      <w:r w:rsidRPr="00BE6E4F">
        <w:rPr>
          <w:rFonts w:ascii="Arial" w:eastAsia="Times New Roman" w:hAnsi="Arial" w:cs="Arial"/>
          <w:b/>
          <w:bCs/>
          <w:color w:val="3F464D"/>
          <w:sz w:val="20"/>
          <w:szCs w:val="20"/>
          <w:lang w:eastAsia="de-DE"/>
        </w:rPr>
        <w:t xml:space="preserve"> für den Einbau eines Gartenwasserzählers:</w:t>
      </w:r>
      <w:r>
        <w:rPr>
          <w:rFonts w:ascii="Arial" w:eastAsia="Times New Roman" w:hAnsi="Arial" w:cs="Arial"/>
          <w:b/>
          <w:bCs/>
          <w:color w:val="3F464D"/>
          <w:sz w:val="20"/>
          <w:szCs w:val="20"/>
          <w:lang w:eastAsia="de-DE"/>
        </w:rPr>
        <w:br/>
      </w:r>
    </w:p>
    <w:p w:rsidR="00BE6E4F" w:rsidRDefault="00BE6E4F" w:rsidP="00BE6E4F">
      <w:pPr>
        <w:numPr>
          <w:ilvl w:val="0"/>
          <w:numId w:val="1"/>
        </w:numPr>
        <w:ind w:left="600"/>
        <w:rPr>
          <w:rFonts w:ascii="Arial" w:eastAsia="Times New Roman" w:hAnsi="Arial" w:cs="Arial"/>
          <w:color w:val="3F464D"/>
          <w:sz w:val="20"/>
          <w:szCs w:val="20"/>
          <w:lang w:eastAsia="de-DE"/>
        </w:rPr>
      </w:pPr>
      <w:r w:rsidRPr="00BE6E4F">
        <w:rPr>
          <w:rFonts w:ascii="Arial" w:eastAsia="Times New Roman" w:hAnsi="Arial" w:cs="Arial"/>
          <w:color w:val="3F464D"/>
          <w:sz w:val="20"/>
          <w:szCs w:val="20"/>
          <w:lang w:eastAsia="de-DE"/>
        </w:rPr>
        <w:t xml:space="preserve">Der Einbau des Gartenwasserzählers erfolgt nicht durch </w:t>
      </w:r>
      <w:r>
        <w:rPr>
          <w:rFonts w:ascii="Arial" w:eastAsia="Times New Roman" w:hAnsi="Arial" w:cs="Arial"/>
          <w:color w:val="3F464D"/>
          <w:sz w:val="20"/>
          <w:szCs w:val="20"/>
          <w:lang w:eastAsia="de-DE"/>
        </w:rPr>
        <w:t>die Gemeinde</w:t>
      </w:r>
      <w:r w:rsidRPr="00BE6E4F">
        <w:rPr>
          <w:rFonts w:ascii="Arial" w:eastAsia="Times New Roman" w:hAnsi="Arial" w:cs="Arial"/>
          <w:color w:val="3F464D"/>
          <w:sz w:val="20"/>
          <w:szCs w:val="20"/>
          <w:lang w:eastAsia="de-DE"/>
        </w:rPr>
        <w:t>. Der Eigentümer ist für die Montage</w:t>
      </w:r>
      <w:r>
        <w:rPr>
          <w:rFonts w:ascii="Arial" w:eastAsia="Times New Roman" w:hAnsi="Arial" w:cs="Arial"/>
          <w:color w:val="3F464D"/>
          <w:sz w:val="20"/>
          <w:szCs w:val="20"/>
          <w:lang w:eastAsia="de-DE"/>
        </w:rPr>
        <w:t xml:space="preserve"> selbstverantwortlich und kann sich ein Unternehmen seiner Wahl heranziehen. Die Kosten hat der Eigentümer zu tragen.</w:t>
      </w:r>
    </w:p>
    <w:p w:rsidR="00BE6E4F" w:rsidRPr="00BE6E4F" w:rsidRDefault="00BE6E4F" w:rsidP="00BE6E4F">
      <w:pPr>
        <w:ind w:left="600"/>
        <w:rPr>
          <w:rFonts w:ascii="Arial" w:eastAsia="Times New Roman" w:hAnsi="Arial" w:cs="Arial"/>
          <w:color w:val="3F464D"/>
          <w:sz w:val="20"/>
          <w:szCs w:val="20"/>
          <w:lang w:eastAsia="de-DE"/>
        </w:rPr>
      </w:pPr>
    </w:p>
    <w:p w:rsidR="00BE6E4F" w:rsidRDefault="00BE6E4F" w:rsidP="00BE6E4F">
      <w:pPr>
        <w:numPr>
          <w:ilvl w:val="0"/>
          <w:numId w:val="1"/>
        </w:numPr>
        <w:ind w:left="600"/>
        <w:rPr>
          <w:rFonts w:ascii="Arial" w:eastAsia="Times New Roman" w:hAnsi="Arial" w:cs="Arial"/>
          <w:color w:val="3F464D"/>
          <w:sz w:val="20"/>
          <w:szCs w:val="20"/>
          <w:lang w:eastAsia="de-DE"/>
        </w:rPr>
      </w:pPr>
      <w:r w:rsidRPr="00BE6E4F">
        <w:rPr>
          <w:rFonts w:ascii="Arial" w:eastAsia="Times New Roman" w:hAnsi="Arial" w:cs="Arial"/>
          <w:color w:val="3F464D"/>
          <w:sz w:val="20"/>
          <w:szCs w:val="20"/>
          <w:lang w:eastAsia="de-DE"/>
        </w:rPr>
        <w:t>Es dürfen nur geeichte Wasserzähler eingebaut werden.</w:t>
      </w:r>
      <w:r>
        <w:rPr>
          <w:rFonts w:ascii="Arial" w:eastAsia="Times New Roman" w:hAnsi="Arial" w:cs="Arial"/>
          <w:color w:val="3F464D"/>
          <w:sz w:val="20"/>
          <w:szCs w:val="20"/>
          <w:lang w:eastAsia="de-DE"/>
        </w:rPr>
        <w:br/>
      </w:r>
    </w:p>
    <w:p w:rsidR="00BE6E4F" w:rsidRPr="00BE6E4F" w:rsidRDefault="00BE6E4F" w:rsidP="00BE6E4F">
      <w:pPr>
        <w:numPr>
          <w:ilvl w:val="0"/>
          <w:numId w:val="1"/>
        </w:numPr>
        <w:ind w:left="600"/>
        <w:rPr>
          <w:rFonts w:ascii="Arial" w:eastAsia="Times New Roman" w:hAnsi="Arial" w:cs="Arial"/>
          <w:color w:val="3F464D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F464D"/>
          <w:sz w:val="20"/>
          <w:szCs w:val="20"/>
          <w:lang w:eastAsia="de-DE"/>
        </w:rPr>
        <w:t>Die Wasserzähler müssen ordnungsgemäß verplombt werden.</w:t>
      </w:r>
      <w:r>
        <w:rPr>
          <w:rFonts w:ascii="Arial" w:eastAsia="Times New Roman" w:hAnsi="Arial" w:cs="Arial"/>
          <w:color w:val="3F464D"/>
          <w:sz w:val="20"/>
          <w:szCs w:val="20"/>
          <w:lang w:eastAsia="de-DE"/>
        </w:rPr>
        <w:br/>
      </w:r>
    </w:p>
    <w:p w:rsidR="00BE6E4F" w:rsidRDefault="00BE6E4F" w:rsidP="00BE6E4F">
      <w:pPr>
        <w:numPr>
          <w:ilvl w:val="0"/>
          <w:numId w:val="1"/>
        </w:numPr>
        <w:ind w:left="600"/>
        <w:rPr>
          <w:rFonts w:ascii="Arial" w:eastAsia="Times New Roman" w:hAnsi="Arial" w:cs="Arial"/>
          <w:color w:val="3F464D"/>
          <w:sz w:val="20"/>
          <w:szCs w:val="20"/>
          <w:lang w:eastAsia="de-DE"/>
        </w:rPr>
      </w:pPr>
      <w:proofErr w:type="spellStart"/>
      <w:r w:rsidRPr="00BE6E4F">
        <w:rPr>
          <w:rFonts w:ascii="Arial" w:eastAsia="Times New Roman" w:hAnsi="Arial" w:cs="Arial"/>
          <w:color w:val="3F464D"/>
          <w:sz w:val="20"/>
          <w:szCs w:val="20"/>
          <w:lang w:eastAsia="de-DE"/>
        </w:rPr>
        <w:t>Aufschraub</w:t>
      </w:r>
      <w:proofErr w:type="spellEnd"/>
      <w:r w:rsidRPr="00BE6E4F">
        <w:rPr>
          <w:rFonts w:ascii="Arial" w:eastAsia="Times New Roman" w:hAnsi="Arial" w:cs="Arial"/>
          <w:color w:val="3F464D"/>
          <w:sz w:val="20"/>
          <w:szCs w:val="20"/>
          <w:lang w:eastAsia="de-DE"/>
        </w:rPr>
        <w:t>- oder Aufsteckzähler, die an einen Außenwasserhahn angebracht werden</w:t>
      </w:r>
      <w:r>
        <w:rPr>
          <w:rFonts w:ascii="Arial" w:eastAsia="Times New Roman" w:hAnsi="Arial" w:cs="Arial"/>
          <w:color w:val="3F464D"/>
          <w:sz w:val="20"/>
          <w:szCs w:val="20"/>
          <w:lang w:eastAsia="de-DE"/>
        </w:rPr>
        <w:t>, werden nicht anerkannt.</w:t>
      </w:r>
      <w:r>
        <w:rPr>
          <w:rFonts w:ascii="Arial" w:eastAsia="Times New Roman" w:hAnsi="Arial" w:cs="Arial"/>
          <w:color w:val="3F464D"/>
          <w:sz w:val="20"/>
          <w:szCs w:val="20"/>
          <w:lang w:eastAsia="de-DE"/>
        </w:rPr>
        <w:br/>
      </w:r>
    </w:p>
    <w:p w:rsidR="00BE6E4F" w:rsidRDefault="00BE6E4F" w:rsidP="00BE6E4F">
      <w:pPr>
        <w:numPr>
          <w:ilvl w:val="0"/>
          <w:numId w:val="1"/>
        </w:numPr>
        <w:ind w:left="600"/>
        <w:rPr>
          <w:rFonts w:ascii="Arial" w:eastAsia="Times New Roman" w:hAnsi="Arial" w:cs="Arial"/>
          <w:color w:val="3F464D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F464D"/>
          <w:sz w:val="20"/>
          <w:szCs w:val="20"/>
          <w:lang w:eastAsia="de-DE"/>
        </w:rPr>
        <w:t>Vom Abzug ausgeschlossen ist eine jährliche Menge von 12 m³.</w:t>
      </w:r>
      <w:r>
        <w:rPr>
          <w:rFonts w:ascii="Arial" w:eastAsia="Times New Roman" w:hAnsi="Arial" w:cs="Arial"/>
          <w:color w:val="3F464D"/>
          <w:sz w:val="20"/>
          <w:szCs w:val="20"/>
          <w:lang w:eastAsia="de-DE"/>
        </w:rPr>
        <w:br/>
        <w:t>Dies bedeutet, dass bei einem Jahresverbrauch von beispielsweise 15 m³, 3 m³ zum Abzug bei den Abwassergebühren gebracht werden.</w:t>
      </w:r>
      <w:r>
        <w:rPr>
          <w:rFonts w:ascii="Arial" w:eastAsia="Times New Roman" w:hAnsi="Arial" w:cs="Arial"/>
          <w:color w:val="3F464D"/>
          <w:sz w:val="20"/>
          <w:szCs w:val="20"/>
          <w:lang w:eastAsia="de-DE"/>
        </w:rPr>
        <w:br/>
      </w:r>
    </w:p>
    <w:p w:rsidR="00BE6E4F" w:rsidRPr="00BE6E4F" w:rsidRDefault="00BE6E4F" w:rsidP="00BE6E4F">
      <w:pPr>
        <w:numPr>
          <w:ilvl w:val="0"/>
          <w:numId w:val="1"/>
        </w:numPr>
        <w:ind w:left="600"/>
        <w:rPr>
          <w:rFonts w:ascii="Arial" w:eastAsia="Times New Roman" w:hAnsi="Arial" w:cs="Arial"/>
          <w:color w:val="3F464D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F464D"/>
          <w:sz w:val="20"/>
          <w:szCs w:val="20"/>
          <w:lang w:eastAsia="de-DE"/>
        </w:rPr>
        <w:t>Der Zählerstand ist jährlich selbstständig durch den Eigentümer in schriftlicher Form an die Gemeinde zu melden.</w:t>
      </w:r>
      <w:r>
        <w:rPr>
          <w:rFonts w:ascii="Arial" w:eastAsia="Times New Roman" w:hAnsi="Arial" w:cs="Arial"/>
          <w:color w:val="3F464D"/>
          <w:sz w:val="20"/>
          <w:szCs w:val="20"/>
          <w:lang w:eastAsia="de-DE"/>
        </w:rPr>
        <w:br/>
      </w:r>
    </w:p>
    <w:p w:rsidR="00BE6E4F" w:rsidRDefault="00BE6E4F" w:rsidP="00BE6E4F">
      <w:pPr>
        <w:numPr>
          <w:ilvl w:val="0"/>
          <w:numId w:val="1"/>
        </w:numPr>
        <w:ind w:left="600"/>
        <w:rPr>
          <w:rFonts w:ascii="Arial" w:eastAsia="Times New Roman" w:hAnsi="Arial" w:cs="Arial"/>
          <w:color w:val="3F464D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F464D"/>
          <w:sz w:val="20"/>
          <w:szCs w:val="20"/>
          <w:lang w:eastAsia="de-DE"/>
        </w:rPr>
        <w:t xml:space="preserve">Nach Installation senden Sie uns bitte das entsprechende Formular, sowie ein Foto des Gartenwasserzählers als Nachweis zu. Bitte berücksichtigen Sie, dass auf dem Nachweis die Zählernummer, die Verplombung und das </w:t>
      </w:r>
      <w:proofErr w:type="spellStart"/>
      <w:r>
        <w:rPr>
          <w:rFonts w:ascii="Arial" w:eastAsia="Times New Roman" w:hAnsi="Arial" w:cs="Arial"/>
          <w:color w:val="3F464D"/>
          <w:sz w:val="20"/>
          <w:szCs w:val="20"/>
          <w:lang w:eastAsia="de-DE"/>
        </w:rPr>
        <w:t>Eichjahr</w:t>
      </w:r>
      <w:proofErr w:type="spellEnd"/>
      <w:r>
        <w:rPr>
          <w:rFonts w:ascii="Arial" w:eastAsia="Times New Roman" w:hAnsi="Arial" w:cs="Arial"/>
          <w:color w:val="3F464D"/>
          <w:sz w:val="20"/>
          <w:szCs w:val="20"/>
          <w:lang w:eastAsia="de-DE"/>
        </w:rPr>
        <w:t xml:space="preserve"> ersichtlich sein müssen.</w:t>
      </w:r>
    </w:p>
    <w:p w:rsidR="00BE6E4F" w:rsidRPr="00BE6E4F" w:rsidRDefault="00BE6E4F" w:rsidP="00BE6E4F">
      <w:pPr>
        <w:ind w:left="600"/>
        <w:rPr>
          <w:rFonts w:ascii="Arial" w:eastAsia="Times New Roman" w:hAnsi="Arial" w:cs="Arial"/>
          <w:color w:val="3F464D"/>
          <w:sz w:val="20"/>
          <w:szCs w:val="20"/>
          <w:lang w:eastAsia="de-DE"/>
        </w:rPr>
      </w:pPr>
    </w:p>
    <w:p w:rsidR="00BE6E4F" w:rsidRPr="00BE6E4F" w:rsidRDefault="00BE6E4F" w:rsidP="00BE6E4F">
      <w:pPr>
        <w:rPr>
          <w:rFonts w:ascii="Arial" w:eastAsia="Times New Roman" w:hAnsi="Arial" w:cs="Arial"/>
          <w:color w:val="3F464D"/>
          <w:sz w:val="20"/>
          <w:szCs w:val="20"/>
          <w:lang w:eastAsia="de-DE"/>
        </w:rPr>
      </w:pPr>
    </w:p>
    <w:p w:rsidR="00BE6E4F" w:rsidRPr="00BE6E4F" w:rsidRDefault="00BE6E4F" w:rsidP="00BE6E4F">
      <w:pPr>
        <w:rPr>
          <w:rFonts w:ascii="Arial" w:hAnsi="Arial" w:cs="Arial"/>
          <w:sz w:val="20"/>
          <w:szCs w:val="20"/>
        </w:rPr>
      </w:pPr>
      <w:r w:rsidRPr="00BE6E4F">
        <w:rPr>
          <w:rFonts w:ascii="Arial" w:eastAsia="Times New Roman" w:hAnsi="Arial" w:cs="Arial"/>
          <w:noProof/>
          <w:color w:val="3F464D"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4D70FCB8" wp14:editId="029C0BDE">
            <wp:simplePos x="0" y="0"/>
            <wp:positionH relativeFrom="column">
              <wp:posOffset>728980</wp:posOffset>
            </wp:positionH>
            <wp:positionV relativeFrom="paragraph">
              <wp:posOffset>-3810</wp:posOffset>
            </wp:positionV>
            <wp:extent cx="4292600" cy="1914525"/>
            <wp:effectExtent l="0" t="0" r="0" b="9525"/>
            <wp:wrapThrough wrapText="bothSides">
              <wp:wrapPolygon edited="0">
                <wp:start x="0" y="0"/>
                <wp:lineTo x="0" y="21493"/>
                <wp:lineTo x="21472" y="21493"/>
                <wp:lineTo x="21472" y="0"/>
                <wp:lineTo x="0" y="0"/>
              </wp:wrapPolygon>
            </wp:wrapThrough>
            <wp:docPr id="1" name="Grafik 1" descr="Gartenwasserzaehler Erklae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Gartenwasserzaehler Erklaer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E4F" w:rsidRPr="00BE6E4F" w:rsidRDefault="00BE6E4F" w:rsidP="00BE6E4F">
      <w:pPr>
        <w:rPr>
          <w:rFonts w:ascii="Arial" w:hAnsi="Arial" w:cs="Arial"/>
          <w:sz w:val="20"/>
          <w:szCs w:val="20"/>
        </w:rPr>
      </w:pPr>
    </w:p>
    <w:p w:rsidR="00BE6E4F" w:rsidRPr="00BE6E4F" w:rsidRDefault="00BE6E4F" w:rsidP="00BE6E4F">
      <w:pPr>
        <w:rPr>
          <w:rFonts w:ascii="Arial" w:hAnsi="Arial" w:cs="Arial"/>
          <w:sz w:val="20"/>
          <w:szCs w:val="20"/>
        </w:rPr>
      </w:pPr>
    </w:p>
    <w:p w:rsidR="00BC6B50" w:rsidRPr="00BE6E4F" w:rsidRDefault="00A6774B" w:rsidP="00BE6E4F">
      <w:pPr>
        <w:rPr>
          <w:rFonts w:ascii="Arial" w:hAnsi="Arial" w:cs="Arial"/>
          <w:sz w:val="20"/>
          <w:szCs w:val="20"/>
        </w:rPr>
      </w:pPr>
    </w:p>
    <w:sectPr w:rsidR="00BC6B50" w:rsidRPr="00BE6E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D5370"/>
    <w:multiLevelType w:val="multilevel"/>
    <w:tmpl w:val="6C26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4F"/>
    <w:rsid w:val="00A6774B"/>
    <w:rsid w:val="00AB4D9E"/>
    <w:rsid w:val="00BE6E4F"/>
    <w:rsid w:val="00F2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6E4F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E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6E4F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E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VG-Zolling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 Diana</dc:creator>
  <cp:lastModifiedBy>Scholtys Monika</cp:lastModifiedBy>
  <cp:revision>2</cp:revision>
  <dcterms:created xsi:type="dcterms:W3CDTF">2020-04-03T09:54:00Z</dcterms:created>
  <dcterms:modified xsi:type="dcterms:W3CDTF">2020-04-03T09:54:00Z</dcterms:modified>
</cp:coreProperties>
</file>